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F2B1" w14:textId="77777777" w:rsidR="00000000" w:rsidRDefault="00F40F52" w:rsidP="00861D8D">
      <w:pPr>
        <w:pStyle w:val="margin1"/>
        <w:framePr w:wrap="around"/>
      </w:pPr>
      <w:r>
        <w:rPr>
          <w:noProof/>
        </w:rPr>
        <mc:AlternateContent>
          <mc:Choice Requires="wps">
            <w:drawing>
              <wp:anchor distT="0" distB="0" distL="114300" distR="114300" simplePos="0" relativeHeight="251658240" behindDoc="0" locked="0" layoutInCell="1" allowOverlap="1" wp14:anchorId="101E43C1" wp14:editId="741A0905">
                <wp:simplePos x="0" y="0"/>
                <wp:positionH relativeFrom="column">
                  <wp:posOffset>0</wp:posOffset>
                </wp:positionH>
                <wp:positionV relativeFrom="paragraph">
                  <wp:posOffset>0</wp:posOffset>
                </wp:positionV>
                <wp:extent cx="9525" cy="9525"/>
                <wp:effectExtent l="0" t="0" r="0" b="0"/>
                <wp:wrapNone/>
                <wp:docPr id="1218459275" name="AutoShape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426B2" id="AutoShape 2" o:spid="_x0000_s1026" style="position:absolute;margin-left:0;margin-top:0;width:.75pt;height:.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" filled="f" stroked="f"/>
            </w:pict>
          </mc:Fallback>
        </mc:AlternateContent>
      </w:r>
      <w:r w:rsidR="00000000">
        <w:t>Authority</w:t>
      </w:r>
    </w:p>
    <w:p w14:paraId="7C026184" w14:textId="77777777" w:rsidR="00000000" w:rsidRDefault="00000000" w:rsidP="00861D8D">
      <w:pPr>
        <w:pStyle w:val="local1"/>
      </w:pPr>
      <w:r>
        <w:t>The Superintendent is authorized to accept or reject any transfer requests, provided that such action is without regard to race, religion, color, sex, disability, national origin, or ancestral language.</w:t>
      </w:r>
    </w:p>
    <w:p w14:paraId="0263F068" w14:textId="77777777" w:rsidR="00000000" w:rsidRDefault="00000000" w:rsidP="00861D8D">
      <w:pPr>
        <w:pStyle w:val="local1"/>
      </w:pPr>
      <w:r>
        <w:t>A resident student who becomes a nonresident during the course of a semester shall be permitted to continue in attendance for the remainder of the semester.</w:t>
      </w:r>
    </w:p>
    <w:p w14:paraId="4F0A6507" w14:textId="77777777" w:rsidR="00000000" w:rsidRDefault="00000000" w:rsidP="00861D8D">
      <w:pPr>
        <w:pStyle w:val="margin1"/>
        <w:framePr w:wrap="around"/>
      </w:pPr>
      <w:r>
        <w:t>Transfer Requests</w:t>
      </w:r>
    </w:p>
    <w:p w14:paraId="5CD28D91" w14:textId="77777777" w:rsidR="00000000" w:rsidRDefault="00000000" w:rsidP="00861D8D">
      <w:pPr>
        <w:pStyle w:val="local1"/>
      </w:pPr>
      <w:r>
        <w:t>A nonresident student wishing to transfer into the District shall file an application for transfer each school year with the Superintendent or designee. Transfers shall be granted for one regular school year at a time.</w:t>
      </w:r>
    </w:p>
    <w:p w14:paraId="148DE439" w14:textId="77777777" w:rsidR="00000000" w:rsidRDefault="00000000" w:rsidP="00861D8D">
      <w:pPr>
        <w:pStyle w:val="margin2"/>
        <w:framePr w:wrap="around"/>
      </w:pPr>
      <w:r>
        <w:t>Factors</w:t>
      </w:r>
    </w:p>
    <w:p w14:paraId="22790B71" w14:textId="77777777" w:rsidR="00000000" w:rsidRDefault="00000000" w:rsidP="00861D8D">
      <w:pPr>
        <w:pStyle w:val="local1"/>
      </w:pPr>
      <w:r>
        <w:t>In approving transfers, the Superintendent or designee shall consider availability of space and instructional staff and the student’s disciplinary history and attendance records.</w:t>
      </w:r>
    </w:p>
    <w:p w14:paraId="18B8B263" w14:textId="77777777" w:rsidR="00000000" w:rsidRDefault="00000000" w:rsidP="00861D8D">
      <w:pPr>
        <w:pStyle w:val="margin2"/>
        <w:framePr w:wrap="around"/>
      </w:pPr>
      <w:r>
        <w:t>Transfer Agreements</w:t>
      </w:r>
    </w:p>
    <w:p w14:paraId="00A04C9F" w14:textId="77777777" w:rsidR="00000000" w:rsidRDefault="00000000" w:rsidP="00861D8D">
      <w:pPr>
        <w:pStyle w:val="local1"/>
      </w:pPr>
      <w:r>
        <w:t>A transfer student shall be notified in the written transfer agreement that he or she must follow all rules and regulations of the District. Violation of the terms of the agreement may result in a transfer request not being approved the following year.</w:t>
      </w:r>
    </w:p>
    <w:p w14:paraId="20A81C45" w14:textId="77777777" w:rsidR="00000000" w:rsidRDefault="00000000" w:rsidP="00861D8D">
      <w:pPr>
        <w:pStyle w:val="margin1"/>
        <w:framePr w:wrap="around"/>
      </w:pPr>
      <w:r>
        <w:t>Tuition</w:t>
      </w:r>
    </w:p>
    <w:p w14:paraId="6C5158DC" w14:textId="77777777" w:rsidR="00000000" w:rsidRDefault="00000000" w:rsidP="00861D8D">
      <w:pPr>
        <w:pStyle w:val="local1"/>
      </w:pPr>
      <w:r>
        <w:t>If the District charges tuition, the amount shall be set by the Board, within statutory limits.</w:t>
      </w:r>
    </w:p>
    <w:p w14:paraId="07CAD471" w14:textId="77777777" w:rsidR="00000000" w:rsidRDefault="00000000" w:rsidP="00861D8D">
      <w:pPr>
        <w:pStyle w:val="margin2"/>
        <w:framePr w:wrap="around"/>
      </w:pPr>
      <w:r>
        <w:t>Waivers</w:t>
      </w:r>
    </w:p>
    <w:p w14:paraId="0B44AD20" w14:textId="77777777" w:rsidR="00000000" w:rsidRDefault="00000000" w:rsidP="00861D8D">
      <w:pPr>
        <w:pStyle w:val="local1"/>
      </w:pPr>
      <w:r>
        <w:t>The Board may waive tuition for a student based on financial hardship upon written application by the student, parent, or guardian. [See FP]</w:t>
      </w:r>
    </w:p>
    <w:p w14:paraId="64B24F55" w14:textId="77777777" w:rsidR="00000000" w:rsidRDefault="00000000" w:rsidP="00861D8D">
      <w:pPr>
        <w:pStyle w:val="margin2"/>
        <w:framePr w:wrap="around"/>
      </w:pPr>
      <w:r>
        <w:t>Nonpayment</w:t>
      </w:r>
    </w:p>
    <w:p w14:paraId="279A5E40" w14:textId="77777777" w:rsidR="00000000" w:rsidRDefault="00000000" w:rsidP="00861D8D">
      <w:pPr>
        <w:pStyle w:val="local1"/>
      </w:pPr>
      <w:r>
        <w:t>The District may initiate withdrawal of students whose tuition payments are delinquent.</w:t>
      </w:r>
    </w:p>
    <w:p w14:paraId="681E8614" w14:textId="77777777" w:rsidR="00000000" w:rsidRDefault="00000000" w:rsidP="00861D8D">
      <w:pPr>
        <w:pStyle w:val="margin1"/>
        <w:framePr w:wrap="around"/>
      </w:pPr>
      <w:r>
        <w:t>Appeals</w:t>
      </w:r>
    </w:p>
    <w:p w14:paraId="760A9C62" w14:textId="77777777" w:rsidR="00000000" w:rsidRPr="009A15E2" w:rsidRDefault="00000000" w:rsidP="009A15E2">
      <w:pPr>
        <w:pStyle w:val="local1"/>
      </w:pPr>
      <w:r>
        <w:t>Any appeals shall be made in accordance with FNG(LOCAL) and GF(LOCAL), as appropriate.</w:t>
      </w:r>
    </w:p>
    <w:sectPr w:rsidR="0052776F" w:rsidRPr="009A15E2" w:rsidSect="00AF5DD1">
      <w:headerReference w:type="even" r:id="rId10"/>
      <w:headerReference w:type="default" r:id="rId11"/>
      <w:footerReference w:type="even" r:id="rId12"/>
      <w:footerReference w:type="default" r:id="rId13"/>
      <w:headerReference w:type="first" r:id="rId14"/>
      <w:footerReference w:type="first" r:id="rId15"/>
      <w:pgSz w:w="12240" w:h="15840" w:code="1"/>
      <w:pgMar w:top="2160" w:right="1440" w:bottom="1440" w:left="424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1966B" w14:textId="77777777" w:rsidR="00E80570" w:rsidRDefault="00E80570">
      <w:pPr>
        <w:spacing w:after="0" w:line="240" w:lineRule="auto"/>
      </w:pPr>
      <w:r>
        <w:separator/>
      </w:r>
    </w:p>
  </w:endnote>
  <w:endnote w:type="continuationSeparator" w:id="0">
    <w:p w14:paraId="50A92791" w14:textId="77777777" w:rsidR="00E80570" w:rsidRDefault="00E8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A247"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0"/>
      <w:gridCol w:w="1854"/>
      <w:gridCol w:w="3168"/>
    </w:tblGrid>
    <w:tr w:rsidR="00FE32C8" w14:paraId="21EFB807" w14:textId="77777777" w:rsidTr="00156E6F">
      <w:tc>
        <w:tcPr>
          <w:tcW w:w="4050" w:type="dxa"/>
        </w:tcPr>
        <w:p w14:paraId="02E8E004" w14:textId="77777777" w:rsidR="00000000" w:rsidRDefault="00000000" w:rsidP="002247EF">
          <w:pPr>
            <w:pStyle w:val="Footer"/>
          </w:pPr>
          <w:r>
            <w:t xml:space="preserve">DATE ISSUED: 7/16/2014  </w:t>
          </w:r>
        </w:p>
      </w:tc>
      <w:tc>
        <w:tcPr>
          <w:tcW w:w="1854" w:type="dxa"/>
          <w:vMerge w:val="restart"/>
        </w:tcPr>
        <w:p w14:paraId="3AE6AAAF" w14:textId="6C6B726D" w:rsidR="00000000" w:rsidRDefault="00000000" w:rsidP="002247EF">
          <w:pPr>
            <w:pStyle w:val="Footer"/>
            <w:jc w:val="right"/>
          </w:pPr>
          <w:r>
            <w:fldChar w:fldCharType="begin"/>
          </w:r>
          <w:r>
            <w:instrText xml:space="preserve"> IF </w:instrText>
          </w:r>
          <w:r>
            <w:fldChar w:fldCharType="begin"/>
          </w:r>
          <w:r>
            <w:instrText xml:space="preserve"> PAGE </w:instrText>
          </w:r>
          <w:r>
            <w:fldChar w:fldCharType="separate"/>
          </w:r>
          <w:r w:rsidR="00F40F52">
            <w:rPr>
              <w:noProof/>
            </w:rPr>
            <w:instrText>1</w:instrText>
          </w:r>
          <w:r>
            <w:rPr>
              <w:noProof/>
            </w:rPr>
            <w:fldChar w:fldCharType="end"/>
          </w:r>
          <w:r>
            <w:instrText xml:space="preserve"> = </w:instrText>
          </w:r>
          <w:r>
            <w:fldChar w:fldCharType="begin"/>
          </w:r>
          <w:r>
            <w:instrText xml:space="preserve"> NUMPAGES </w:instrText>
          </w:r>
          <w:r>
            <w:fldChar w:fldCharType="separate"/>
          </w:r>
          <w:r w:rsidR="00F40F52">
            <w:rPr>
              <w:noProof/>
            </w:rPr>
            <w:instrText>1</w:instrText>
          </w:r>
          <w:r>
            <w:rPr>
              <w:noProof/>
            </w:rPr>
            <w:fldChar w:fldCharType="end"/>
          </w:r>
          <w:r>
            <w:instrText xml:space="preserve"> "ADOPTED:" "" </w:instrText>
          </w:r>
          <w:r>
            <w:fldChar w:fldCharType="separate"/>
          </w:r>
          <w:r w:rsidR="00F40F52">
            <w:rPr>
              <w:noProof/>
            </w:rPr>
            <w:t>ADOPTED:</w:t>
          </w:r>
          <w:r>
            <w:fldChar w:fldCharType="end"/>
          </w:r>
        </w:p>
      </w:tc>
      <w:tc>
        <w:tcPr>
          <w:tcW w:w="3168" w:type="dxa"/>
        </w:tcPr>
        <w:p w14:paraId="3E2EBC04" w14:textId="77777777" w:rsidR="00000000" w:rsidRDefault="00000000" w:rsidP="002247EF">
          <w:pPr>
            <w:pStyle w:val="Footer"/>
            <w:jc w:val="right"/>
          </w:pPr>
          <w:r>
            <w:fldChar w:fldCharType="begin"/>
          </w:r>
          <w:r>
            <w:instrText xml:space="preserve"> PAGE </w:instrText>
          </w:r>
          <w:r>
            <w:fldChar w:fldCharType="separate"/>
          </w:r>
          <w:r>
            <w:rPr>
              <w:noProof/>
            </w:rPr>
            <w:t>1</w:t>
          </w:r>
          <w:r>
            <w:rPr>
              <w:noProof/>
            </w:rPr>
            <w:fldChar w:fldCharType="end"/>
          </w:r>
          <w:r>
            <w:t xml:space="preserve"> of </w:t>
          </w:r>
          <w:r>
            <w:fldChar w:fldCharType="begin"/>
          </w:r>
          <w:r>
            <w:instrText xml:space="preserve"> NUMPAGES </w:instrText>
          </w:r>
          <w:r>
            <w:fldChar w:fldCharType="separate"/>
          </w:r>
          <w:r>
            <w:rPr>
              <w:noProof/>
            </w:rPr>
            <w:t>1</w:t>
          </w:r>
          <w:r>
            <w:rPr>
              <w:noProof/>
            </w:rPr>
            <w:fldChar w:fldCharType="end"/>
          </w:r>
        </w:p>
      </w:tc>
    </w:tr>
    <w:tr w:rsidR="00FE32C8" w14:paraId="5EF50D22" w14:textId="77777777" w:rsidTr="00156E6F">
      <w:tc>
        <w:tcPr>
          <w:tcW w:w="4050" w:type="dxa"/>
        </w:tcPr>
        <w:p w14:paraId="04739E77" w14:textId="77777777" w:rsidR="00000000" w:rsidRDefault="00000000" w:rsidP="002247EF">
          <w:pPr>
            <w:pStyle w:val="Footer"/>
          </w:pPr>
          <w:r>
            <w:t>UPDATE 100</w:t>
          </w:r>
        </w:p>
      </w:tc>
      <w:tc>
        <w:tcPr>
          <w:tcW w:w="1854" w:type="dxa"/>
          <w:vMerge/>
        </w:tcPr>
        <w:p w14:paraId="6292FE5D" w14:textId="77777777" w:rsidR="00000000" w:rsidRDefault="00000000" w:rsidP="002247EF">
          <w:pPr>
            <w:pStyle w:val="Footer"/>
          </w:pPr>
        </w:p>
      </w:tc>
      <w:tc>
        <w:tcPr>
          <w:tcW w:w="3168" w:type="dxa"/>
        </w:tcPr>
        <w:p w14:paraId="3C352C66" w14:textId="77777777" w:rsidR="00000000" w:rsidRDefault="00000000" w:rsidP="002247EF">
          <w:pPr>
            <w:pStyle w:val="Footer"/>
            <w:jc w:val="right"/>
          </w:pPr>
        </w:p>
      </w:tc>
    </w:tr>
    <w:tr w:rsidR="00FE32C8" w14:paraId="6A194833" w14:textId="77777777" w:rsidTr="00156E6F">
      <w:tc>
        <w:tcPr>
          <w:tcW w:w="4050" w:type="dxa"/>
        </w:tcPr>
        <w:p w14:paraId="7A05C783" w14:textId="77777777" w:rsidR="00000000" w:rsidRDefault="00000000" w:rsidP="002247EF">
          <w:pPr>
            <w:pStyle w:val="Footer"/>
          </w:pPr>
          <w:r>
            <w:t>FDA(LOCAL)-A</w:t>
          </w:r>
        </w:p>
      </w:tc>
      <w:tc>
        <w:tcPr>
          <w:tcW w:w="1854" w:type="dxa"/>
          <w:vMerge/>
        </w:tcPr>
        <w:p w14:paraId="4AC3D796" w14:textId="77777777" w:rsidR="00000000" w:rsidRDefault="00000000" w:rsidP="002247EF">
          <w:pPr>
            <w:pStyle w:val="Footer"/>
          </w:pPr>
        </w:p>
      </w:tc>
      <w:tc>
        <w:tcPr>
          <w:tcW w:w="3168" w:type="dxa"/>
        </w:tcPr>
        <w:p w14:paraId="56327E04" w14:textId="77777777" w:rsidR="00000000" w:rsidRDefault="00000000" w:rsidP="002247EF">
          <w:pPr>
            <w:pStyle w:val="Footer"/>
            <w:jc w:val="right"/>
          </w:pPr>
        </w:p>
      </w:tc>
    </w:tr>
  </w:tbl>
  <w:p w14:paraId="66F3CA2E"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15D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17609" w14:textId="77777777" w:rsidR="00E80570" w:rsidRDefault="00E80570">
      <w:pPr>
        <w:spacing w:after="0" w:line="240" w:lineRule="auto"/>
      </w:pPr>
      <w:r>
        <w:separator/>
      </w:r>
    </w:p>
  </w:footnote>
  <w:footnote w:type="continuationSeparator" w:id="0">
    <w:p w14:paraId="2B89ED7C" w14:textId="77777777" w:rsidR="00E80570" w:rsidRDefault="00E80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3A4E"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FE32C8" w14:paraId="5B2AA463" w14:textId="77777777" w:rsidTr="009E01DD">
      <w:tc>
        <w:tcPr>
          <w:tcW w:w="7488" w:type="dxa"/>
        </w:tcPr>
        <w:p w14:paraId="74F2C3C7" w14:textId="77777777" w:rsidR="00000000" w:rsidRDefault="00000000" w:rsidP="002247EF">
          <w:pPr>
            <w:pStyle w:val="Header"/>
          </w:pPr>
          <w:r>
            <w:t>Bremond ISD</w:t>
          </w:r>
        </w:p>
      </w:tc>
      <w:tc>
        <w:tcPr>
          <w:tcW w:w="1584" w:type="dxa"/>
        </w:tcPr>
        <w:p w14:paraId="204D93C5" w14:textId="77777777" w:rsidR="00000000" w:rsidRDefault="00000000" w:rsidP="002247EF">
          <w:pPr>
            <w:pStyle w:val="Header"/>
          </w:pPr>
        </w:p>
      </w:tc>
    </w:tr>
    <w:tr w:rsidR="00FE32C8" w14:paraId="17661F94" w14:textId="77777777" w:rsidTr="009E01DD">
      <w:tc>
        <w:tcPr>
          <w:tcW w:w="7488" w:type="dxa"/>
        </w:tcPr>
        <w:p w14:paraId="0DF1502C" w14:textId="77777777" w:rsidR="00000000" w:rsidRDefault="00000000" w:rsidP="002247EF">
          <w:pPr>
            <w:pStyle w:val="Header"/>
          </w:pPr>
          <w:r>
            <w:t>198901</w:t>
          </w:r>
        </w:p>
      </w:tc>
      <w:tc>
        <w:tcPr>
          <w:tcW w:w="1584" w:type="dxa"/>
        </w:tcPr>
        <w:p w14:paraId="7D9D522A" w14:textId="77777777" w:rsidR="00000000" w:rsidRDefault="00000000" w:rsidP="002247EF">
          <w:pPr>
            <w:pStyle w:val="Header"/>
          </w:pPr>
        </w:p>
      </w:tc>
    </w:tr>
    <w:tr w:rsidR="00FE32C8" w14:paraId="01702248" w14:textId="77777777" w:rsidTr="009E01DD">
      <w:tc>
        <w:tcPr>
          <w:tcW w:w="7488" w:type="dxa"/>
        </w:tcPr>
        <w:p w14:paraId="43D63015" w14:textId="77777777" w:rsidR="00000000" w:rsidRDefault="00000000" w:rsidP="002247EF">
          <w:pPr>
            <w:pStyle w:val="Header"/>
          </w:pPr>
        </w:p>
      </w:tc>
      <w:tc>
        <w:tcPr>
          <w:tcW w:w="1584" w:type="dxa"/>
        </w:tcPr>
        <w:p w14:paraId="0AFF5BC4" w14:textId="77777777" w:rsidR="00000000" w:rsidRDefault="00000000" w:rsidP="002247EF">
          <w:pPr>
            <w:pStyle w:val="Header"/>
          </w:pPr>
        </w:p>
      </w:tc>
    </w:tr>
    <w:tr w:rsidR="00FE32C8" w14:paraId="7C7A6115" w14:textId="77777777" w:rsidTr="009E01DD">
      <w:tc>
        <w:tcPr>
          <w:tcW w:w="7488" w:type="dxa"/>
        </w:tcPr>
        <w:p w14:paraId="45DFE0D9" w14:textId="77777777" w:rsidR="00000000" w:rsidRDefault="00000000" w:rsidP="002247EF">
          <w:pPr>
            <w:pStyle w:val="Header"/>
          </w:pPr>
          <w:r>
            <w:t>ADMISSIONS</w:t>
          </w:r>
        </w:p>
      </w:tc>
      <w:tc>
        <w:tcPr>
          <w:tcW w:w="1584" w:type="dxa"/>
        </w:tcPr>
        <w:p w14:paraId="38C1C39E" w14:textId="77777777" w:rsidR="00000000" w:rsidRDefault="00000000" w:rsidP="002247EF">
          <w:pPr>
            <w:pStyle w:val="Header"/>
            <w:jc w:val="right"/>
          </w:pPr>
          <w:r>
            <w:t>FDA</w:t>
          </w:r>
        </w:p>
      </w:tc>
    </w:tr>
    <w:tr w:rsidR="00FE32C8" w14:paraId="63CBA292" w14:textId="77777777" w:rsidTr="009E01DD">
      <w:tc>
        <w:tcPr>
          <w:tcW w:w="7488" w:type="dxa"/>
        </w:tcPr>
        <w:p w14:paraId="7DEB56EA" w14:textId="77777777" w:rsidR="00000000" w:rsidRDefault="00000000" w:rsidP="002247EF">
          <w:pPr>
            <w:pStyle w:val="Header"/>
          </w:pPr>
          <w:r>
            <w:t>INTERDISTRICT TRANSFERS</w:t>
          </w:r>
        </w:p>
      </w:tc>
      <w:tc>
        <w:tcPr>
          <w:tcW w:w="1584" w:type="dxa"/>
        </w:tcPr>
        <w:p w14:paraId="48724B9D" w14:textId="77777777" w:rsidR="00000000" w:rsidRDefault="00000000" w:rsidP="002247EF">
          <w:pPr>
            <w:pStyle w:val="Header"/>
            <w:jc w:val="right"/>
          </w:pPr>
          <w:r>
            <w:t>(LOCAL)</w:t>
          </w:r>
        </w:p>
      </w:tc>
    </w:tr>
  </w:tbl>
  <w:p w14:paraId="1628A165"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4A6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0">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0">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0">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1787698359">
    <w:abstractNumId w:val="1"/>
  </w:num>
  <w:num w:numId="2" w16cid:durableId="1675648180">
    <w:abstractNumId w:val="1"/>
  </w:num>
  <w:num w:numId="3" w16cid:durableId="1223983096">
    <w:abstractNumId w:val="2"/>
  </w:num>
  <w:num w:numId="4" w16cid:durableId="787627901">
    <w:abstractNumId w:val="5"/>
  </w:num>
  <w:num w:numId="5" w16cid:durableId="2022655698">
    <w:abstractNumId w:val="5"/>
  </w:num>
  <w:num w:numId="6" w16cid:durableId="373232626">
    <w:abstractNumId w:val="5"/>
  </w:num>
  <w:num w:numId="7" w16cid:durableId="609897813">
    <w:abstractNumId w:val="5"/>
  </w:num>
  <w:num w:numId="8" w16cid:durableId="392588148">
    <w:abstractNumId w:val="5"/>
  </w:num>
  <w:num w:numId="9" w16cid:durableId="1209805914">
    <w:abstractNumId w:val="5"/>
  </w:num>
  <w:num w:numId="10" w16cid:durableId="1500388881">
    <w:abstractNumId w:val="5"/>
  </w:num>
  <w:num w:numId="11" w16cid:durableId="1204563166">
    <w:abstractNumId w:val="5"/>
  </w:num>
  <w:num w:numId="12" w16cid:durableId="545603104">
    <w:abstractNumId w:val="5"/>
  </w:num>
  <w:num w:numId="13" w16cid:durableId="828591611">
    <w:abstractNumId w:val="5"/>
  </w:num>
  <w:num w:numId="14" w16cid:durableId="214317304">
    <w:abstractNumId w:val="0"/>
  </w:num>
  <w:num w:numId="15" w16cid:durableId="654452236">
    <w:abstractNumId w:val="0"/>
  </w:num>
  <w:num w:numId="16" w16cid:durableId="697701603">
    <w:abstractNumId w:val="0"/>
  </w:num>
  <w:num w:numId="17" w16cid:durableId="1921599342">
    <w:abstractNumId w:val="0"/>
  </w:num>
  <w:num w:numId="18" w16cid:durableId="126824840">
    <w:abstractNumId w:val="0"/>
  </w:num>
  <w:num w:numId="19" w16cid:durableId="1660691834">
    <w:abstractNumId w:val="0"/>
  </w:num>
  <w:num w:numId="20" w16cid:durableId="1450319227">
    <w:abstractNumId w:val="0"/>
  </w:num>
  <w:num w:numId="21" w16cid:durableId="1092045954">
    <w:abstractNumId w:val="0"/>
  </w:num>
  <w:num w:numId="22" w16cid:durableId="1513490973">
    <w:abstractNumId w:val="0"/>
  </w:num>
  <w:num w:numId="23" w16cid:durableId="1073545989">
    <w:abstractNumId w:val="0"/>
  </w:num>
  <w:num w:numId="24" w16cid:durableId="857499026">
    <w:abstractNumId w:val="3"/>
  </w:num>
  <w:num w:numId="25" w16cid:durableId="193986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LockQFSet/>
  <w:defaultTabStop w:val="720"/>
  <w:autoHyphenation/>
  <w:consecutiveHyphenLimit w:val="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C8"/>
    <w:rsid w:val="001519B1"/>
    <w:rsid w:val="00E80570"/>
    <w:rsid w:val="00F40F52"/>
    <w:rsid w:val="00FE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C8E7"/>
  <w15:docId w15:val="{FFA29EB0-8B27-2047-B078-9E835C5D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FA6DE7"/>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il"/>
        <w:bottom w:val="nil"/>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E928A8"/>
    <w:pPr>
      <w:spacing w:after="100"/>
    </w:pPr>
    <w:rPr>
      <w:b/>
    </w:rPr>
  </w:style>
  <w:style w:type="paragraph" w:styleId="TOC2">
    <w:name w:val="toc 2"/>
    <w:basedOn w:val="local1"/>
    <w:next w:val="local1"/>
    <w:autoRedefine/>
    <w:uiPriority w:val="39"/>
    <w:unhideWhenUsed/>
    <w:rsid w:val="00E928A8"/>
    <w:pPr>
      <w:spacing w:after="100"/>
      <w:ind w:left="220"/>
    </w:p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blStylePr w:type="firstRow">
      <w:rPr>
        <w:b/>
      </w:rPr>
      <w:tblPr/>
      <w:trPr>
        <w:tblHeader/>
      </w:trPr>
    </w:tblStylePr>
    <w:tblStylePr w:type="lastRow">
      <w:rPr>
        <w:i/>
        <w:iCs/>
      </w:rPr>
    </w:tblStylePr>
    <w:tblStylePr w:type="lastCol">
      <w:rPr>
        <w:i/>
        <w:iCs/>
      </w:rPr>
    </w:tblStylePr>
  </w:style>
  <w:style w:type="table" w:customStyle="1" w:styleId="Table-Data-2">
    <w:name w:val="Table-Data-2"/>
    <w:basedOn w:val="Table-Data-1"/>
    <w:uiPriority w:val="99"/>
    <w:rsid w:val="00E928A8"/>
    <w:tblPr>
      <w:tblInd w:w="619" w:type="dxa"/>
    </w:tblPr>
    <w:tblStylePr w:type="firstRow">
      <w:rPr>
        <w:b/>
      </w:rPr>
      <w:tblPr/>
      <w:trPr>
        <w:tblHeader/>
      </w:trPr>
    </w:tblStylePr>
    <w:tblStylePr w:type="lastRow">
      <w:rPr>
        <w:i/>
        <w:iCs/>
      </w:rPr>
    </w:tblStylePr>
    <w:tblStylePr w:type="lastCol">
      <w:rPr>
        <w:i/>
        <w:iCs/>
      </w:rPr>
    </w:tblStylePr>
  </w:style>
  <w:style w:type="table" w:customStyle="1" w:styleId="Table-Data-3">
    <w:name w:val="Table-Data-3"/>
    <w:basedOn w:val="Table-Data-1"/>
    <w:uiPriority w:val="99"/>
    <w:rsid w:val="00E928A8"/>
    <w:tblPr>
      <w:tblInd w:w="1123" w:type="dxa"/>
    </w:tblPr>
    <w:tblStylePr w:type="firstRow">
      <w:rPr>
        <w:b/>
      </w:rPr>
      <w:tblPr/>
      <w:trPr>
        <w:tblHeader/>
      </w:trPr>
    </w:tblStylePr>
    <w:tblStylePr w:type="lastRow">
      <w:rPr>
        <w:i/>
        <w:iCs/>
      </w:rPr>
    </w:tblStylePr>
    <w:tblStylePr w:type="lastCol">
      <w:rPr>
        <w:i/>
        <w:iCs/>
      </w:rPr>
    </w:tblStylePr>
  </w:style>
  <w:style w:type="table" w:customStyle="1" w:styleId="Table-Data-4">
    <w:name w:val="Table-Data-4"/>
    <w:basedOn w:val="Table-Data-1"/>
    <w:uiPriority w:val="99"/>
    <w:rsid w:val="00E928A8"/>
    <w:tblPr>
      <w:tblInd w:w="1627" w:type="dxa"/>
    </w:tblPr>
    <w:tblStylePr w:type="firstRow">
      <w:rPr>
        <w:b/>
      </w:rPr>
      <w:tblPr/>
      <w:trPr>
        <w:tblHeader/>
      </w:trPr>
    </w:tblStylePr>
    <w:tblStylePr w:type="lastRow">
      <w:rPr>
        <w:i/>
        <w:iCs/>
      </w:rPr>
    </w:tblStylePr>
    <w:tblStylePr w:type="lastCol">
      <w:rPr>
        <w:i/>
        <w:iCs/>
      </w:rPr>
    </w:tblStylePr>
  </w:style>
  <w:style w:type="table" w:customStyle="1" w:styleId="Table-Data-5">
    <w:name w:val="Table-Data-5"/>
    <w:basedOn w:val="Table-Data-1"/>
    <w:uiPriority w:val="99"/>
    <w:rsid w:val="00E928A8"/>
    <w:tblPr>
      <w:tblInd w:w="2131" w:type="dxa"/>
    </w:tblPr>
    <w:tblStylePr w:type="firstRow">
      <w:rPr>
        <w:b/>
      </w:rPr>
      <w:tblPr/>
      <w:trPr>
        <w:tblHeader/>
      </w:trPr>
    </w:tblStylePr>
    <w:tblStylePr w:type="lastRow">
      <w:rPr>
        <w:i/>
        <w:iCs/>
      </w:rPr>
    </w:tblStylePr>
    <w:tblStylePr w:type="lastCol">
      <w:rPr>
        <w:i/>
        <w:iCs/>
      </w:rPr>
    </w:tblStylePr>
  </w:style>
  <w:style w:type="table" w:customStyle="1" w:styleId="Table-Data-6">
    <w:name w:val="Table-Data-6"/>
    <w:basedOn w:val="Table-Data-1"/>
    <w:uiPriority w:val="99"/>
    <w:rsid w:val="00E928A8"/>
    <w:tblPr>
      <w:tblInd w:w="2635" w:type="dxa"/>
    </w:tblPr>
    <w:tblStylePr w:type="firstRow">
      <w:rPr>
        <w:b/>
      </w:rPr>
      <w:tblPr/>
      <w:trPr>
        <w:tblHeader/>
      </w:trPr>
    </w:tblStylePr>
    <w:tblStylePr w:type="lastRow">
      <w:rPr>
        <w:i/>
        <w:iCs/>
      </w:rPr>
    </w:tblStylePr>
    <w:tblStylePr w:type="lastCol">
      <w:rPr>
        <w:i/>
        <w:iCs/>
      </w:r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vAlign w:val="center"/>
    </w:tcPr>
    <w:tblStylePr w:type="firstRow">
      <w:pPr>
        <w:wordWrap/>
        <w:spacing w:before="0" w:beforeAutospacing="0" w:after="0" w:afterAutospacing="0" w:line="260" w:lineRule="atLeast"/>
        <w:jc w:val="center"/>
      </w:pPr>
      <w:rPr>
        <w:b/>
      </w:rPr>
      <w:tblPr/>
      <w:trPr>
        <w:tblHeader/>
      </w:trPr>
    </w:tblStylePr>
    <w:tblStylePr w:type="lastRow">
      <w:rPr>
        <w:i/>
        <w:iCs/>
      </w:rPr>
    </w:tblStylePr>
    <w:tblStylePr w:type="lastCol">
      <w:rPr>
        <w:i/>
        <w:iCs/>
      </w:r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licyTitle xmlns="$ListId:Content;">ADMISSIONS</PolicyTitle>
    <PolicySubTitle xmlns="$ListId:Content;">INTERDISTRICT TRANSFERS</PolicySubTit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F9BB7BFF672F4EADB48B48864D1B44" ma:contentTypeVersion="3" ma:contentTypeDescription="Create a new document." ma:contentTypeScope="" ma:versionID="1b339695aca824512fac71b1df7f4861">
  <xsd:schema xmlns:xsd="http://www.w3.org/2001/XMLSchema" xmlns:xs="http://www.w3.org/2001/XMLSchema" xmlns:p="http://schemas.microsoft.com/office/2006/metadata/properties" xmlns:ns2="$ListId:Content;" targetNamespace="http://schemas.microsoft.com/office/2006/metadata/properties" ma:root="true" ma:fieldsID="6b161815e669e1e7f878a411f51eb92f" ns2:_="">
    <xsd:import namespace="$ListId:Content;"/>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ontent;"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E28B1-AB13-421A-A8E4-FF2C88C7CB28}">
  <ds:schemaRefs>
    <ds:schemaRef ds:uri="http://schemas.microsoft.com/office/2006/metadata/properties"/>
    <ds:schemaRef ds:uri="http://schemas.microsoft.com/office/infopath/2007/PartnerControls"/>
    <ds:schemaRef ds:uri="$ListId:Content;"/>
  </ds:schemaRefs>
</ds:datastoreItem>
</file>

<file path=customXml/itemProps2.xml><?xml version="1.0" encoding="utf-8"?>
<ds:datastoreItem xmlns:ds="http://schemas.openxmlformats.org/officeDocument/2006/customXml" ds:itemID="{CE49B965-34B0-48E7-9F82-1F4A9D1D30FA}">
  <ds:schemaRefs>
    <ds:schemaRef ds:uri="http://schemas.microsoft.com/sharepoint/v3/contenttype/forms"/>
  </ds:schemaRefs>
</ds:datastoreItem>
</file>

<file path=customXml/itemProps3.xml><?xml version="1.0" encoding="utf-8"?>
<ds:datastoreItem xmlns:ds="http://schemas.openxmlformats.org/officeDocument/2006/customXml" ds:itemID="{8BB15131-07B8-4CC7-BC1F-F292F62C9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ontent;"/>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Long</dc:creator>
  <cp:lastModifiedBy>Lance Wineinger</cp:lastModifiedBy>
  <cp:revision>2</cp:revision>
  <cp:lastPrinted>2008-10-13T17:50:00Z</cp:lastPrinted>
  <dcterms:created xsi:type="dcterms:W3CDTF">2026-03-24T14:31:00Z</dcterms:created>
  <dcterms:modified xsi:type="dcterms:W3CDTF">2026-03-24T14:31:00Z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0x01010083F9BB7BFF672F4EADB48B48864D1B44</vt:lpwstr>
  </property>
  <property fmtid="{D5CDD505-2E9C-101B-9397-08002B2CF9AE}" pid="3" name="DocName">
    <vt:lpwstr>FDA(L)-A</vt:lpwstr>
  </property>
  <property fmtid="{D5CDD505-2E9C-101B-9397-08002B2CF9AE}" pid="4" name="Order">
    <vt:r8>94800</vt:r8>
  </property>
  <property fmtid="{D5CDD505-2E9C-101B-9397-08002B2CF9AE}" pid="5" name="xd_ProgID">
    <vt:lpwstr/>
  </property>
  <property fmtid="{D5CDD505-2E9C-101B-9397-08002B2CF9AE}" pid="6" name="FolderKey">
    <vt:lpwstr>40782</vt:lpwstr>
  </property>
  <property fmtid="{D5CDD505-2E9C-101B-9397-08002B2CF9AE}" pid="7" name="UpdateNumber">
    <vt:lpwstr>100</vt:lpwstr>
  </property>
  <property fmtid="{D5CDD505-2E9C-101B-9397-08002B2CF9AE}" pid="8" name="ObjectKey">
    <vt:lpwstr>1110</vt:lpwstr>
  </property>
  <property fmtid="{D5CDD505-2E9C-101B-9397-08002B2CF9AE}" pid="9" name="ObjectDetailKey">
    <vt:lpwstr>259951</vt:lpwstr>
  </property>
  <property fmtid="{D5CDD505-2E9C-101B-9397-08002B2CF9AE}" pid="10" name="_SharedFileIndex">
    <vt:lpwstr/>
  </property>
  <property fmtid="{D5CDD505-2E9C-101B-9397-08002B2CF9AE}" pid="11" name="_SourceUrl">
    <vt:lpwstr/>
  </property>
  <property fmtid="{D5CDD505-2E9C-101B-9397-08002B2CF9AE}" pid="12" name="TemplateUrl">
    <vt:lpwstr/>
  </property>
  <property fmtid="{D5CDD505-2E9C-101B-9397-08002B2CF9AE}" pid="13" name="Origin">
    <vt:lpwstr>1110.docx</vt:lpwstr>
  </property>
</Properties>
</file>